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E9" w:rsidRDefault="00B42CBD" w:rsidP="00433D0C">
      <w:pPr>
        <w:ind w:firstLine="720"/>
        <w:jc w:val="both"/>
        <w:rPr>
          <w:b/>
        </w:rPr>
      </w:pPr>
      <w:r>
        <w:rPr>
          <w:b/>
        </w:rPr>
        <w:t>VÁLASZ NAGY ZSOLTNAK</w:t>
      </w:r>
    </w:p>
    <w:p w:rsidR="006457F8" w:rsidRDefault="00B42CBD" w:rsidP="006457F8">
      <w:pPr>
        <w:ind w:firstLine="720"/>
        <w:jc w:val="both"/>
      </w:pPr>
      <w:r>
        <w:t xml:space="preserve">Kedves Zsolt! </w:t>
      </w:r>
      <w:r w:rsidR="00602BFC">
        <w:t>Sokadszor o</w:t>
      </w:r>
      <w:r>
        <w:t>lvasom a level</w:t>
      </w:r>
      <w:r w:rsidR="006A5380">
        <w:t>ed, és azon tűnődöm, vajon hányan értették meg azok közül, akiknek ezt érteniük kellene</w:t>
      </w:r>
      <w:r>
        <w:t>.</w:t>
      </w:r>
      <w:r w:rsidR="006A5380">
        <w:t xml:space="preserve"> Vajon hányan teszik még fel ezeket a kérdéseket olymódon, hogy az ne csak azok között legyen hallható, akik a Veled vagyunk, Zsolt cso</w:t>
      </w:r>
      <w:r w:rsidR="00414A07">
        <w:t>portban</w:t>
      </w:r>
      <w:r w:rsidR="006A5380">
        <w:t xml:space="preserve"> egymáshoz szólunk évek óta.</w:t>
      </w:r>
      <w:r w:rsidR="006457F8">
        <w:t xml:space="preserve"> Ezért most én is a nyilvánosság útján válaszolok Neked. Kic</w:t>
      </w:r>
      <w:r w:rsidR="00B50A83">
        <w:t xml:space="preserve">sit hosszú lesz, de tudom: </w:t>
      </w:r>
      <w:r w:rsidR="006457F8">
        <w:t>ha másnak nem is, Neked lesz türelmed végigolvasni...</w:t>
      </w:r>
    </w:p>
    <w:p w:rsidR="0080788B" w:rsidRDefault="00B50A83" w:rsidP="00CE64FB">
      <w:pPr>
        <w:ind w:firstLine="720"/>
        <w:jc w:val="both"/>
      </w:pPr>
      <w:r>
        <w:t>Amint Te is láthatod</w:t>
      </w:r>
      <w:r w:rsidR="00414A07">
        <w:t>, z</w:t>
      </w:r>
      <w:r w:rsidR="00864027">
        <w:t>ajlik a cirkusz</w:t>
      </w:r>
      <w:r w:rsidR="00414A07">
        <w:t>: m</w:t>
      </w:r>
      <w:r w:rsidR="00203EB8">
        <w:t xml:space="preserve">indenki mondja a magáét, </w:t>
      </w:r>
      <w:r w:rsidR="00414A07">
        <w:t xml:space="preserve">álproblémákkal és riogatások tele a közbeszéd </w:t>
      </w:r>
      <w:r w:rsidR="00203EB8">
        <w:t>a korrupc</w:t>
      </w:r>
      <w:r w:rsidR="00414A07">
        <w:t xml:space="preserve">ióellenes küzdelem elfojtásától </w:t>
      </w:r>
      <w:r w:rsidR="00203EB8">
        <w:t xml:space="preserve">a börtönök túlterheltségéig, a közélet tisztaságától az államelnöki túlkapások emlegetéséig, népszavazástól kormányrendeletekig. A cirkusz jellege, annak alakulása, a valós és lényeges kérdések elkendőzése, a szekértáborok közt egyre mélyülő szakadék egyértelműen azt mutatja, hogy itt mindkét oldal elsősorban az igazságszolgáltatás </w:t>
      </w:r>
      <w:r w:rsidR="00414A07">
        <w:t xml:space="preserve">és a titkosszolgálatok </w:t>
      </w:r>
      <w:r w:rsidR="00203EB8">
        <w:t xml:space="preserve">fölött gyakorolt hatalmának megerősítéséért illetve átvételéért küzd. </w:t>
      </w:r>
      <w:r w:rsidR="00414A07">
        <w:t>Pontosan azokért, amik a le</w:t>
      </w:r>
      <w:r w:rsidR="00CE64FB">
        <w:t xml:space="preserve">gtöbbet ártottak a jogállamnak. </w:t>
      </w:r>
      <w:r w:rsidR="00203EB8">
        <w:t>Mert miközben a</w:t>
      </w:r>
      <w:r w:rsidR="00DF72D7">
        <w:t>z egyes</w:t>
      </w:r>
      <w:r w:rsidR="00203EB8">
        <w:t xml:space="preserve"> táborok képviselői mindenféléket </w:t>
      </w:r>
      <w:r w:rsidR="00FD1AE7">
        <w:t xml:space="preserve">féltve és mindenféléket kitalálva egy vélt „nép nevében” </w:t>
      </w:r>
      <w:r w:rsidR="00203EB8">
        <w:t xml:space="preserve">kiabálnak a mikrofonoktól vagy az utcán, </w:t>
      </w:r>
      <w:r w:rsidR="00FD1AE7">
        <w:t xml:space="preserve">egyetlen dologról nem beszél sajnos senki: </w:t>
      </w:r>
      <w:r w:rsidR="00864027">
        <w:t xml:space="preserve">a román igazságszolgáltatás </w:t>
      </w:r>
      <w:r w:rsidR="00FD1AE7">
        <w:t xml:space="preserve">és a román büntetőjog valós és tényleges </w:t>
      </w:r>
      <w:r w:rsidR="00864027">
        <w:t xml:space="preserve">állapotáról, a titkosszolgálatnak és a korrupcióellenes ügyészségnek a bírósági eljárásokra gyakorolt </w:t>
      </w:r>
      <w:r w:rsidR="00FD1AE7">
        <w:t xml:space="preserve">befolyásáról és </w:t>
      </w:r>
      <w:r w:rsidR="00864027">
        <w:t xml:space="preserve">nyomásáról, </w:t>
      </w:r>
      <w:r w:rsidR="00602BFC">
        <w:t xml:space="preserve">a senki által nem korlátozott „nemzetbiztonsági lehallgatásokról”, </w:t>
      </w:r>
      <w:r w:rsidR="00864027">
        <w:t>a leszámolás céljából megrendelt és gyártott dossziékról</w:t>
      </w:r>
      <w:r w:rsidR="00FD1AE7">
        <w:t>, a SRI-DNA „közös akciócsoportjairól”, a (nem csak) büntető törvények által mesterségesen és szándékosan fenntartott manipulálhatóságró</w:t>
      </w:r>
      <w:r w:rsidR="00DF72D7">
        <w:t>l, a törvényen felüliségből fakadó</w:t>
      </w:r>
      <w:r w:rsidR="0080788B">
        <w:t xml:space="preserve"> visszaélési lehetőségekről.</w:t>
      </w:r>
      <w:r w:rsidR="00414A07">
        <w:t xml:space="preserve"> Magáról az Igazságról.</w:t>
      </w:r>
    </w:p>
    <w:p w:rsidR="003F0D8F" w:rsidRDefault="00414A07" w:rsidP="00CE64FB">
      <w:pPr>
        <w:ind w:firstLine="720"/>
        <w:jc w:val="both"/>
      </w:pPr>
      <w:r>
        <w:t xml:space="preserve">Lassan két évtizede ismerjük egymást, ismerjük egymás munkáját. Az igazságunkért való magatehetetlen és eleve vesztésre ítélt harcunkban tehát pontosan tudom, hogy miről beszélsz. </w:t>
      </w:r>
      <w:r w:rsidR="00CE64FB">
        <w:t>Ezek a kérdések engem is immár tíz esztendeje emésztenek: azóta, amióta először tört fel belőlem a nevetés, hogy vajon mennyi pénzbe kerülhet egy ügyész ahhoz, hogy korrupciós ügyet gyártson a Mikó-kollégi</w:t>
      </w:r>
      <w:r w:rsidR="007F4444">
        <w:t xml:space="preserve">um visszaszolgáltatásából. </w:t>
      </w:r>
      <w:r w:rsidR="00CE64FB">
        <w:t xml:space="preserve">És leveledet olvasva végigpörögnek bennem is az események. </w:t>
      </w:r>
      <w:r w:rsidR="00E623F2">
        <w:t>Nem akarok</w:t>
      </w:r>
      <w:r w:rsidR="00864027">
        <w:t xml:space="preserve"> vádas</w:t>
      </w:r>
      <w:r w:rsidR="00CE64FB">
        <w:t>kodni, nem fogok szidni senkit, csupán hozzád hasonlóan én is</w:t>
      </w:r>
      <w:r w:rsidR="00331BCD">
        <w:t xml:space="preserve"> felteszek</w:t>
      </w:r>
      <w:r w:rsidR="00864027">
        <w:t xml:space="preserve"> néhány konkrét</w:t>
      </w:r>
      <w:r w:rsidR="00331BCD">
        <w:t xml:space="preserve"> kérdést, azokat az örök kérdéseket, amelyeket </w:t>
      </w:r>
      <w:r w:rsidR="00C91371">
        <w:t>több-kevesebb</w:t>
      </w:r>
      <w:r w:rsidR="003B47D8">
        <w:t xml:space="preserve"> vehemenciával, de </w:t>
      </w:r>
      <w:r w:rsidR="00331BCD">
        <w:t>ugyanígy már évek óta felteszek. Talán ebben az új kontextusban lesz valaki, aki nemcsak megpróbálja megkeresni a válaszokat, hanem ahhoz is hozzá tud majd járulni, hogy egy kicsit lemossa azt a rengeteg sarat, ami</w:t>
      </w:r>
      <w:r w:rsidR="00AD5B58">
        <w:t>t</w:t>
      </w:r>
      <w:r w:rsidR="00331BCD">
        <w:t xml:space="preserve"> </w:t>
      </w:r>
      <w:r w:rsidR="00AD5B58">
        <w:t xml:space="preserve">valahol, valakik </w:t>
      </w:r>
      <w:r w:rsidR="00331BCD">
        <w:t>az igazság</w:t>
      </w:r>
      <w:r w:rsidR="00AD5B58">
        <w:t>ra hordtak.</w:t>
      </w:r>
      <w:r w:rsidR="00C91371">
        <w:t xml:space="preserve"> Ha egy </w:t>
      </w:r>
      <w:r w:rsidR="00A5518B">
        <w:t>Sebastian Ghi</w:t>
      </w:r>
      <w:r w:rsidR="00A5518B">
        <w:rPr>
          <w:lang w:val="ro-RO"/>
        </w:rPr>
        <w:t>ță</w:t>
      </w:r>
      <w:r w:rsidR="00C91371">
        <w:t xml:space="preserve"> nevű médiasztárnak alapvetően közös bulik és nyaralások felidézésével </w:t>
      </w:r>
      <w:r w:rsidR="00A5518B">
        <w:t xml:space="preserve">már </w:t>
      </w:r>
      <w:r w:rsidR="00C91371">
        <w:t>sikerül</w:t>
      </w:r>
      <w:r w:rsidR="00A5518B">
        <w:t>t</w:t>
      </w:r>
      <w:r w:rsidR="00C91371">
        <w:t xml:space="preserve"> </w:t>
      </w:r>
      <w:r w:rsidR="00203EB8">
        <w:t xml:space="preserve">egy kicsit </w:t>
      </w:r>
      <w:r w:rsidR="00C91371">
        <w:t xml:space="preserve">megrengetni a rendszert, akkor ezek itt alább </w:t>
      </w:r>
      <w:r w:rsidR="00433D0C">
        <w:t xml:space="preserve">is </w:t>
      </w:r>
      <w:r w:rsidR="00C91371">
        <w:t>megérnének minimum egy tényfeltárást.</w:t>
      </w:r>
    </w:p>
    <w:p w:rsidR="003D08DD" w:rsidRDefault="003D08DD" w:rsidP="00433D0C">
      <w:pPr>
        <w:pStyle w:val="ListParagraph"/>
        <w:numPr>
          <w:ilvl w:val="0"/>
          <w:numId w:val="1"/>
        </w:numPr>
        <w:jc w:val="both"/>
      </w:pPr>
      <w:r>
        <w:t>2012 elején a Mikó-per alap</w:t>
      </w:r>
      <w:r w:rsidR="00B106BA">
        <w:t xml:space="preserve">fokú tárgyalása végét vártuk. </w:t>
      </w:r>
      <w:r>
        <w:t xml:space="preserve"> </w:t>
      </w:r>
      <w:r w:rsidR="00B106BA">
        <w:t xml:space="preserve">Nyitva állt az út a felmentő ítélet előtt: miután a </w:t>
      </w:r>
      <w:r>
        <w:t>bírónő jóváhagyta az épület tulajdonjogára vonatkozó előzetes kifogásunkat,</w:t>
      </w:r>
      <w:r w:rsidR="00B106BA">
        <w:t xml:space="preserve"> </w:t>
      </w:r>
      <w:r>
        <w:t>a</w:t>
      </w:r>
      <w:r w:rsidR="00B106BA">
        <w:t xml:space="preserve"> </w:t>
      </w:r>
      <w:r>
        <w:t>vádlottak és a tanúk meghallgatását követően márciusra tervezte a d</w:t>
      </w:r>
      <w:r w:rsidR="00C91371">
        <w:t xml:space="preserve">öntéshozatalt. </w:t>
      </w:r>
      <w:r w:rsidR="0080788B">
        <w:t>Terhes volt, és s</w:t>
      </w:r>
      <w:r w:rsidR="00C91371">
        <w:t>zülési szabadsága előtt még le akarta zárni ezt az ügyet</w:t>
      </w:r>
      <w:r w:rsidR="00386ECD">
        <w:t xml:space="preserve">. Egyetlen embernek azonban sikerült </w:t>
      </w:r>
      <w:r w:rsidR="00C91371">
        <w:t xml:space="preserve">ezt </w:t>
      </w:r>
      <w:r w:rsidR="00386ECD">
        <w:t>megakadályozni</w:t>
      </w:r>
      <w:r w:rsidR="00C91371">
        <w:t>a</w:t>
      </w:r>
      <w:r w:rsidR="00386ECD">
        <w:t>: a feljelentő Benedek Leventének</w:t>
      </w:r>
      <w:r>
        <w:t xml:space="preserve">, akit </w:t>
      </w:r>
      <w:r w:rsidR="00386ECD">
        <w:t>utolsó tanúként három egymást követő tárgyalásra</w:t>
      </w:r>
      <w:r>
        <w:t xml:space="preserve"> </w:t>
      </w:r>
      <w:r w:rsidR="00386ECD">
        <w:t xml:space="preserve">(2012. február 21 és május 8 között) </w:t>
      </w:r>
      <w:r>
        <w:t xml:space="preserve">hiába idéztek be tanúvallomást tenni. Pontosabban valahol, valakik úgy szervezték, hogy ne hozzák át a börtönből, ahol büntetését </w:t>
      </w:r>
      <w:r>
        <w:lastRenderedPageBreak/>
        <w:t>tölt</w:t>
      </w:r>
      <w:r w:rsidR="00386ECD">
        <w:t>ötte, mindaddig, amíg a bírónő szülési szabadságra nem kényszerült</w:t>
      </w:r>
      <w:r w:rsidR="00CE64FB">
        <w:t>,</w:t>
      </w:r>
      <w:r w:rsidR="00386ECD">
        <w:t xml:space="preserve"> és be nem következett az a bírócsere, ami a per teljes további folyamatát meghatározta. Kinek és miért volt érdeke addig tolni az ügyet, amíg ki nem jelölték az új bírót, és akinek megjelenésével egyidejűleg feltűnt az utolsó tanú, majd a soron következő tárgyaláson ki is mondták az ominózus három éves börtönről és a visszaállamosításról szóló ítéletet?</w:t>
      </w:r>
    </w:p>
    <w:p w:rsidR="00386ECD" w:rsidRDefault="00386ECD" w:rsidP="00433D0C">
      <w:pPr>
        <w:pStyle w:val="ListParagraph"/>
        <w:numPr>
          <w:ilvl w:val="0"/>
          <w:numId w:val="1"/>
        </w:numPr>
        <w:jc w:val="both"/>
      </w:pPr>
      <w:r>
        <w:t>A Mikó per nyomozati anyagai és a vádirat egy</w:t>
      </w:r>
      <w:r w:rsidR="00E32E30">
        <w:t>aránt úgy fogalmaz, hogy azáltal</w:t>
      </w:r>
      <w:r>
        <w:t xml:space="preserve"> követtük el a bűncselekményt, hogy </w:t>
      </w:r>
      <w:r w:rsidRPr="00B106BA">
        <w:rPr>
          <w:i/>
        </w:rPr>
        <w:t xml:space="preserve">„a </w:t>
      </w:r>
      <w:r w:rsidR="00E667AD" w:rsidRPr="00B106BA">
        <w:rPr>
          <w:i/>
        </w:rPr>
        <w:t>valósággal ellentétesen” nem a jogos tulajdonosnak, hanem a református egyháznak adtuk vissza a kollégium épületét</w:t>
      </w:r>
      <w:r w:rsidR="00E667AD">
        <w:t>. Ugyanez szerepel az alapfokú döntésben is: a vétkünk az, hogy „a valósággal ellentétesen állapítottunk meg az egyház tulajdonjogát</w:t>
      </w:r>
      <w:r w:rsidR="00523FB8">
        <w:t>”</w:t>
      </w:r>
      <w:r w:rsidR="00E667AD">
        <w:t>. Ezt követte a jogos és széles hazai és nemzetközi tiltakozási hullám, aminek következtében a fellebbezés során valahol, valakik el kellett kenjék a dolgokat. Így azt</w:t>
      </w:r>
      <w:r w:rsidR="00523FB8">
        <w:t>án egy jogállamban fogalmilag kizárt</w:t>
      </w:r>
      <w:r w:rsidR="00E667AD">
        <w:t xml:space="preserve"> módon a jogerős  ítélet </w:t>
      </w:r>
      <w:r w:rsidR="003B47D8">
        <w:t xml:space="preserve">már nem azért ítél el, mert tévesen állapítottuk meg a tulajdonost, hanem </w:t>
      </w:r>
      <w:r w:rsidR="00E667AD" w:rsidRPr="00B106BA">
        <w:rPr>
          <w:i/>
        </w:rPr>
        <w:t>olyan tettek miatt</w:t>
      </w:r>
      <w:r w:rsidR="00B106BA">
        <w:rPr>
          <w:i/>
        </w:rPr>
        <w:t>, amelye</w:t>
      </w:r>
      <w:r w:rsidR="003B47D8" w:rsidRPr="00B106BA">
        <w:rPr>
          <w:i/>
        </w:rPr>
        <w:t>kk</w:t>
      </w:r>
      <w:r w:rsidR="00E667AD" w:rsidRPr="00B106BA">
        <w:rPr>
          <w:i/>
        </w:rPr>
        <w:t>el soha senki nem vádolt minket</w:t>
      </w:r>
      <w:r w:rsidR="00E667AD">
        <w:t xml:space="preserve">: nem kaptuk meg a közigazgatási minisztérium visszaigazolását. Miközben ez a kifogásolt dokumentum kezdettől fogva része volt a periratnak. Kinek és miért volt érdeke olyan okot kreálni, ami soha nem szerepelt a vádiratban? </w:t>
      </w:r>
      <w:r w:rsidR="003B47D8">
        <w:t xml:space="preserve">Kinek és milyen hatalom vagy parancs birtokában van joga </w:t>
      </w:r>
      <w:r w:rsidR="00C91371">
        <w:t xml:space="preserve">megszegni alapvető jogelvet, soha meg nem fogalmazott vádak mentén </w:t>
      </w:r>
      <w:r w:rsidR="007F4444">
        <w:t>meghozni</w:t>
      </w:r>
      <w:r w:rsidR="00C91371">
        <w:t xml:space="preserve"> egy jogerős ítéletet, ezáltal megtagadni még a védelemhez való jogot is? </w:t>
      </w:r>
      <w:r w:rsidR="00E667AD">
        <w:t>Kinek és miért</w:t>
      </w:r>
      <w:r w:rsidR="009C2092">
        <w:t xml:space="preserve"> volt érdeke addig telefonálgatni, amíg elérték azt, hogy jogerősen is elítéljenek, hisz </w:t>
      </w:r>
      <w:r w:rsidR="00C91371">
        <w:t xml:space="preserve">nyilvánvaló, hogy </w:t>
      </w:r>
      <w:r w:rsidR="009C2092">
        <w:t>a tulajdonjog tisztázása hiányában semmilyen más módon nem lehetett volna visszaállamosítani a kollégium épületét?</w:t>
      </w:r>
    </w:p>
    <w:p w:rsidR="009C2092" w:rsidRDefault="009C2092" w:rsidP="00433D0C">
      <w:pPr>
        <w:pStyle w:val="ListParagraph"/>
        <w:numPr>
          <w:ilvl w:val="0"/>
          <w:numId w:val="1"/>
        </w:numPr>
        <w:jc w:val="both"/>
      </w:pPr>
      <w:r>
        <w:t>Honnan és milyen hatalom birtokában szerzett tudomást (és újságolta is el háziorvosának) Benedek Levente felj</w:t>
      </w:r>
      <w:r w:rsidR="007F4444">
        <w:t>elentő az alapfokú döntésről több, mint</w:t>
      </w:r>
      <w:r>
        <w:t xml:space="preserve"> egy nappal annak </w:t>
      </w:r>
      <w:r w:rsidR="00B106BA">
        <w:t>megfogalmazása és kihirdetése</w:t>
      </w:r>
      <w:r>
        <w:t xml:space="preserve"> előtt?</w:t>
      </w:r>
    </w:p>
    <w:p w:rsidR="009C2092" w:rsidRDefault="009C2092" w:rsidP="00433D0C">
      <w:pPr>
        <w:pStyle w:val="ListParagraph"/>
        <w:numPr>
          <w:ilvl w:val="0"/>
          <w:numId w:val="1"/>
        </w:numPr>
        <w:jc w:val="both"/>
      </w:pPr>
      <w:r>
        <w:t xml:space="preserve">A híres-hírhedt első Bica-ügyben 2014. november 20-án idéztek le a </w:t>
      </w:r>
      <w:r w:rsidR="008D4366">
        <w:t>DNA központi hivatalába. Azon az éjszakán tisztázódott bennem, hogy azon az ominózus kártérítési bizottsági ülésen nem voltam jelen, és erre a bizonyítékok is előkerültek – az ügyészek iratai között. Ennek ellenére már másnap, november 21-én kérték az előzetes letartóztatásomat. Kinek és milyen parancs hatására állt hatalmában, hogy úgy kérje a letartóztatásoma</w:t>
      </w:r>
      <w:r w:rsidR="00B106BA">
        <w:t>t, hogy közben a saját iratainak ismeretében</w:t>
      </w:r>
      <w:r w:rsidR="008D4366">
        <w:t xml:space="preserve"> tudnia kellett volna, hogy nem voltam jelen? És most a</w:t>
      </w:r>
      <w:r w:rsidR="00B106BA">
        <w:t>z egyszer vádolok – nevekkel: Dănuț</w:t>
      </w:r>
      <w:r w:rsidR="008D4366">
        <w:t xml:space="preserve"> Volintiru és Gheorghe Popovici </w:t>
      </w:r>
      <w:r w:rsidR="00B106BA">
        <w:t xml:space="preserve">ügyészek törvényt és </w:t>
      </w:r>
      <w:r w:rsidR="005738F8">
        <w:t xml:space="preserve">kötelességet szegtek és visszaéltek hatalmukkal azáltal, hogy </w:t>
      </w:r>
      <w:r w:rsidR="00B106BA">
        <w:t xml:space="preserve">ártatlanságom tudatában </w:t>
      </w:r>
      <w:r w:rsidR="005738F8">
        <w:t>alaptalanul kérték az előzetes letartóztatásomat.</w:t>
      </w:r>
    </w:p>
    <w:p w:rsidR="009E5F91" w:rsidRDefault="005738F8" w:rsidP="007E0982">
      <w:pPr>
        <w:pStyle w:val="ListParagraph"/>
        <w:numPr>
          <w:ilvl w:val="0"/>
          <w:numId w:val="1"/>
        </w:numPr>
        <w:jc w:val="both"/>
      </w:pPr>
      <w:r>
        <w:t>Amikor erről a kirívó visszaélésről tudomást sz</w:t>
      </w:r>
      <w:r w:rsidR="007E0982">
        <w:t>ereztem és közzétettem a bizonyítékokat</w:t>
      </w:r>
      <w:r>
        <w:t>, akkor ugyanezek az ügyészek átiratban finoman megfenyegettek, hogy nem szabad a nyomozati ira</w:t>
      </w:r>
      <w:r w:rsidR="007E0982">
        <w:t>tokat nyilvánosságra hozni. Pedig éppenséggel ők azok, aki teletöltötték a médiát hazugságokkal, miközben pontosan tudták, hogy még be sem idézhettek volna...</w:t>
      </w:r>
      <w:r w:rsidR="009E5F91">
        <w:t xml:space="preserve"> Ki és milyen </w:t>
      </w:r>
      <w:r w:rsidR="001334F5">
        <w:t>hatalom birtokában tagadta meg sorozatos kéréseim ellenére</w:t>
      </w:r>
      <w:r w:rsidR="009E5F91">
        <w:t xml:space="preserve"> a Bica-ügyben a vádak ejtését azok után, hogy már minden bizonyíték adott volt? </w:t>
      </w:r>
      <w:r w:rsidR="00D4472D">
        <w:t xml:space="preserve">Nem beszélve arról, hogy írásos nyoma van annak, hogy </w:t>
      </w:r>
      <w:r w:rsidR="00E32E30">
        <w:t>immár a konkrét bizonyítékok ismeretében</w:t>
      </w:r>
      <w:r w:rsidR="00D4472D">
        <w:t xml:space="preserve"> </w:t>
      </w:r>
      <w:r w:rsidR="00E32E30">
        <w:t xml:space="preserve">is </w:t>
      </w:r>
      <w:r w:rsidR="00D4472D">
        <w:t xml:space="preserve">képes </w:t>
      </w:r>
      <w:r w:rsidR="00391A1B">
        <w:t xml:space="preserve">olyat </w:t>
      </w:r>
      <w:r w:rsidR="00D4472D">
        <w:t>állítani</w:t>
      </w:r>
      <w:r w:rsidR="00391A1B">
        <w:t xml:space="preserve"> egy felelős ügyész</w:t>
      </w:r>
      <w:r w:rsidR="00D4472D">
        <w:t xml:space="preserve">, hogy </w:t>
      </w:r>
      <w:r w:rsidR="00D4472D" w:rsidRPr="007E0982">
        <w:rPr>
          <w:i/>
        </w:rPr>
        <w:t>„távollétével részt vett a bűncselekmény megvalósításában”</w:t>
      </w:r>
      <w:r w:rsidR="00D4472D">
        <w:t xml:space="preserve">... </w:t>
      </w:r>
      <w:r w:rsidR="009E5F91">
        <w:t>Ki</w:t>
      </w:r>
      <w:r w:rsidR="00875EC2">
        <w:t>k</w:t>
      </w:r>
      <w:r w:rsidR="009E5F91">
        <w:t xml:space="preserve"> és milyen hatalom </w:t>
      </w:r>
      <w:r w:rsidR="009E5F91">
        <w:lastRenderedPageBreak/>
        <w:t xml:space="preserve">birtokában </w:t>
      </w:r>
      <w:r w:rsidR="00875EC2">
        <w:t xml:space="preserve">húzták-nyúzták </w:t>
      </w:r>
      <w:r w:rsidR="001334F5">
        <w:t>a vádak azonnali ejtését 2014. decemb</w:t>
      </w:r>
      <w:r w:rsidR="00E32E30">
        <w:t>er elejétől 2015. április 10-ig – addig,</w:t>
      </w:r>
      <w:r w:rsidR="001334F5">
        <w:t xml:space="preserve"> amíg egy újabb vádiratot nem gyártottak?</w:t>
      </w:r>
    </w:p>
    <w:p w:rsidR="001334F5" w:rsidRDefault="001334F5" w:rsidP="00433D0C">
      <w:pPr>
        <w:pStyle w:val="ListParagraph"/>
        <w:numPr>
          <w:ilvl w:val="0"/>
          <w:numId w:val="1"/>
        </w:numPr>
        <w:jc w:val="both"/>
      </w:pPr>
      <w:r>
        <w:t>És ugyanebben az ügybe</w:t>
      </w:r>
      <w:r w:rsidR="006E0254">
        <w:t>n már csak e</w:t>
      </w:r>
      <w:r>
        <w:t>nnyi</w:t>
      </w:r>
      <w:r w:rsidR="006E0254">
        <w:t>t</w:t>
      </w:r>
      <w:r>
        <w:t xml:space="preserve">: a nagy </w:t>
      </w:r>
      <w:r w:rsidR="006E0254">
        <w:t xml:space="preserve">szekus-ügyész-bíró </w:t>
      </w:r>
      <w:r>
        <w:t>összefonódások egyre</w:t>
      </w:r>
      <w:r w:rsidR="006E0254">
        <w:t xml:space="preserve"> inkább valószínűsíthető létezésének</w:t>
      </w:r>
      <w:r>
        <w:t xml:space="preserve"> ismeretében létezik-e még valaki, aki véletlennek tartja, hogy </w:t>
      </w:r>
      <w:r w:rsidR="006E0254">
        <w:t xml:space="preserve">miközben </w:t>
      </w:r>
      <w:r>
        <w:t>2014</w:t>
      </w:r>
      <w:r w:rsidR="006E0254">
        <w:t>.</w:t>
      </w:r>
      <w:r>
        <w:t xml:space="preserve"> november 24-re</w:t>
      </w:r>
      <w:r w:rsidR="006E0254">
        <w:t xml:space="preserve"> vártuk a Mikó-ügy jogerős döntését, november 20-án belekavarnak és beidéznek a Bica-ügyben? Ráadásul úgy, hogy a Bica-ügy meghallgatásán, november 20-án éjjel, a Mikó-ügy is</w:t>
      </w:r>
      <w:r w:rsidR="00602BFC">
        <w:t>meretében, Popovici ügyész</w:t>
      </w:r>
      <w:r w:rsidR="006E0254">
        <w:t xml:space="preserve"> </w:t>
      </w:r>
      <w:r w:rsidR="00602BFC">
        <w:t xml:space="preserve">a valakik által biztosított </w:t>
      </w:r>
      <w:r w:rsidR="006E0254">
        <w:t xml:space="preserve">felsőbbrendűségi érzésének </w:t>
      </w:r>
      <w:r w:rsidR="00602BFC">
        <w:t>és</w:t>
      </w:r>
      <w:r w:rsidR="00C91371">
        <w:t xml:space="preserve"> hatalmának </w:t>
      </w:r>
      <w:r w:rsidR="006E0254">
        <w:t>tudatában kaján vigyorral odaszól</w:t>
      </w:r>
      <w:r w:rsidR="00E623F2">
        <w:t>t</w:t>
      </w:r>
      <w:r w:rsidR="006E0254">
        <w:t xml:space="preserve"> nekem: „da’ văd că aveți treabă, domnu’ Markó...”</w:t>
      </w:r>
      <w:r w:rsidR="00131835">
        <w:t xml:space="preserve"> (nahát, látom, hogy van dolga rendesen, Markó úr...)</w:t>
      </w:r>
    </w:p>
    <w:p w:rsidR="00AA5604" w:rsidRDefault="00E623F2" w:rsidP="00433D0C">
      <w:pPr>
        <w:pStyle w:val="ListParagraph"/>
        <w:numPr>
          <w:ilvl w:val="0"/>
          <w:numId w:val="1"/>
        </w:numPr>
        <w:jc w:val="both"/>
      </w:pPr>
      <w:r>
        <w:t>Ezeket az es</w:t>
      </w:r>
      <w:r w:rsidR="00D12FD2">
        <w:t xml:space="preserve">eteket részeiben már több ízben, kisebb-nagyobb részletességgel bemutattam. </w:t>
      </w:r>
      <w:r>
        <w:t xml:space="preserve">Tudom, hogy </w:t>
      </w:r>
      <w:r w:rsidR="00D12FD2">
        <w:t xml:space="preserve">ezzel nagyon megharagítottam azt a bizonyos rendszert, amelyiknek egyik láncszeme épp lemondott, de ettől még </w:t>
      </w:r>
      <w:r w:rsidR="00875EC2">
        <w:t>senki nem veheti el tőlem az igazság kimondásához való jogomat</w:t>
      </w:r>
      <w:r w:rsidR="00D12FD2">
        <w:t>. Viszont éppen ezért k</w:t>
      </w:r>
      <w:r>
        <w:t xml:space="preserve">inek és miért </w:t>
      </w:r>
      <w:r w:rsidR="00D12FD2">
        <w:t xml:space="preserve">volt </w:t>
      </w:r>
      <w:r>
        <w:t xml:space="preserve">érdeke </w:t>
      </w:r>
      <w:r w:rsidR="00D12FD2">
        <w:t>tovább rugdosni, újabb és újabb vádakat kreálni ellenem? Kinek és milyen hatalom vagy parancs birtokában áll jogában olyan bűncselekményekkel vádolni a kártérítési ügyek kapcsán, amelyeket nem csak, hogy nem k</w:t>
      </w:r>
      <w:r w:rsidR="00B106BA">
        <w:t xml:space="preserve">övettem el, de még </w:t>
      </w:r>
      <w:r w:rsidR="00B27F5C">
        <w:t>lehetőségem sem volt tudomást szerezni</w:t>
      </w:r>
      <w:r w:rsidR="00B106BA">
        <w:t xml:space="preserve"> arról, hogy esetleg mások elkövethették? </w:t>
      </w:r>
      <w:r w:rsidR="00D12FD2">
        <w:t>Milyen hatalom vagy parancs teszi lehetővé, hogy ha egy testületben 2-3 személy</w:t>
      </w:r>
      <w:r w:rsidR="00875EC2">
        <w:t xml:space="preserve"> bűncselekményeket</w:t>
      </w:r>
      <w:r w:rsidR="00D12FD2">
        <w:t xml:space="preserve"> követ el (ezek egyébként a periratok szerint még akár bizonyíthatók is), akkor azokkal együtt felelősségre kell vonni azokat is, akik ezekről a tettekről nem tudtak, nem volt honnan tudomást szerezzenek, nem volt lehetőségük felismerni, észrevenni azokat, és nem volt olyan törvényes kötelezettség, a</w:t>
      </w:r>
      <w:r w:rsidR="00D4472D">
        <w:t>mi előírta volna ezt számukra.</w:t>
      </w:r>
      <w:r w:rsidR="0047572F">
        <w:t xml:space="preserve"> Tudni kell azt is, hogy egyetlen kártérítési </w:t>
      </w:r>
      <w:r w:rsidR="00B27F5C">
        <w:t>lopási-</w:t>
      </w:r>
      <w:r w:rsidR="0047572F">
        <w:t>csalási perben sincs s</w:t>
      </w:r>
      <w:r w:rsidR="00AA5604">
        <w:t>emmilyen vád ellenem, pusztán annyi</w:t>
      </w:r>
      <w:r w:rsidR="0047572F">
        <w:t>, hogy tagja voltam a bizottságnak.</w:t>
      </w:r>
    </w:p>
    <w:p w:rsidR="00C04D70" w:rsidRDefault="00C04D70" w:rsidP="00433D0C">
      <w:pPr>
        <w:pStyle w:val="ListParagraph"/>
        <w:numPr>
          <w:ilvl w:val="0"/>
          <w:numId w:val="1"/>
        </w:numPr>
        <w:jc w:val="both"/>
      </w:pPr>
      <w:r>
        <w:t>Végül egyetlen gondolat arról, ho</w:t>
      </w:r>
      <w:r w:rsidR="00635028">
        <w:t>gy milyen mértékben vontam</w:t>
      </w:r>
      <w:r w:rsidR="00D7422E">
        <w:t xml:space="preserve"> magamra</w:t>
      </w:r>
      <w:r>
        <w:t xml:space="preserve"> a „rendszer” haragját. Amikor 2015 tavaszán a Kossuth-rádióban először vetettem fel azt, hogy igen sok jel mutat arra, hogy az igazságszolgáltatás valójában egy eszköz a korrupcióellenes ügyészség és a titkosszolgálat kezében, akkor egy héten belül egy újabb kártérítési ügyben megtörtént a vádemelés. Aztán egy szintén kemény facebook-bejegyzést követően újra lecsaptak, ezúttal egy letartóztatási kérelemmel. Ezt az összefüggést a megnyilvánulásaim és a „rendszer” válasz-reakciói között</w:t>
      </w:r>
      <w:r w:rsidR="00D7422E">
        <w:t>,</w:t>
      </w:r>
      <w:r>
        <w:t xml:space="preserve"> szóvá tettem egy mandin</w:t>
      </w:r>
      <w:r w:rsidR="00D7422E">
        <w:t xml:space="preserve">er.hu-nak adott </w:t>
      </w:r>
      <w:r w:rsidR="00B50A83">
        <w:t xml:space="preserve">újabb interjú </w:t>
      </w:r>
      <w:r w:rsidR="00D7422E">
        <w:t>végén, hogy „nem tudom, mi lesz, ha ez a cikk megjelenik”</w:t>
      </w:r>
      <w:r>
        <w:t xml:space="preserve">. </w:t>
      </w:r>
      <w:r w:rsidR="00D7422E">
        <w:t xml:space="preserve">Még </w:t>
      </w:r>
      <w:r w:rsidR="00C50F0C">
        <w:t>aznap</w:t>
      </w:r>
      <w:r w:rsidR="00D7422E">
        <w:t xml:space="preserve"> közzétették az Interpol-körözést.</w:t>
      </w:r>
      <w:r w:rsidR="00C50F0C">
        <w:t>..</w:t>
      </w:r>
    </w:p>
    <w:p w:rsidR="00B27F5C" w:rsidRDefault="009F1D3F" w:rsidP="00B27F5C">
      <w:pPr>
        <w:ind w:firstLine="360"/>
        <w:jc w:val="both"/>
      </w:pPr>
      <w:r>
        <w:t xml:space="preserve">A fenti történetek mindegyikére van bizonyítékom: ügyészi iratokban, periratokban, </w:t>
      </w:r>
      <w:r w:rsidR="007E0982">
        <w:t>blogbejegyzésekben – részben már közz</w:t>
      </w:r>
      <w:r>
        <w:t>étettem őket korábban</w:t>
      </w:r>
      <w:r w:rsidR="007712C7">
        <w:t>.</w:t>
      </w:r>
    </w:p>
    <w:p w:rsidR="00B27F5C" w:rsidRDefault="00DC7410" w:rsidP="004435A1">
      <w:pPr>
        <w:ind w:firstLine="360"/>
        <w:jc w:val="both"/>
      </w:pPr>
      <w:r>
        <w:t>Kedves Zsolt! Azt írod, hogy</w:t>
      </w:r>
      <w:r w:rsidR="00A26209">
        <w:t xml:space="preserve"> az igazság akkor is létezik, ha nem ismerik el. </w:t>
      </w:r>
      <w:r w:rsidR="00B50A83">
        <w:t>C</w:t>
      </w:r>
      <w:r w:rsidR="00A26209">
        <w:t xml:space="preserve">sak akkor ne </w:t>
      </w:r>
      <w:r w:rsidR="00B50A83">
        <w:t>nevezze senki jogállamnak ezt az országot</w:t>
      </w:r>
      <w:r w:rsidR="00A26209">
        <w:t xml:space="preserve">, és ne tessék annyit dícsérni az „elért eredményeket”... Ha egyetlen egyszer is úgy sérülnek az alapvető jogok és az igazság, hogy arra semmilyen jogorvoslat nincs, akkor az alkotmányos, jogállami probléma. </w:t>
      </w:r>
      <w:r w:rsidR="00B50A83">
        <w:t xml:space="preserve">Jogállamban fogalmilag kizárt a „járulékos áldozat”. </w:t>
      </w:r>
      <w:r w:rsidR="00B27F5C">
        <w:t>E</w:t>
      </w:r>
      <w:r w:rsidR="00A26209">
        <w:t>zekről a kérdésekről és az általad is felsorolt</w:t>
      </w:r>
      <w:r w:rsidR="00B27F5C">
        <w:t xml:space="preserve"> esetekről márpedig beszélni kell – anélkül, hogy bárki is kétségbe vonná a korrupcióellenes küzdelem jogosságát és fontosságát. </w:t>
      </w:r>
      <w:r w:rsidR="00CD0809">
        <w:t>Beszélni kell, kivizsgá</w:t>
      </w:r>
      <w:r w:rsidR="00B50A83">
        <w:t>lni, ésszerű megoldást találni. I</w:t>
      </w:r>
      <w:r w:rsidR="00602BFC">
        <w:t xml:space="preserve">gen, igazad van: alkotmánybírósági döntéseket igenis be kell iktatni a törvénybe, a </w:t>
      </w:r>
      <w:r w:rsidR="00602BFC">
        <w:lastRenderedPageBreak/>
        <w:t xml:space="preserve">joggyakorlat nem tehet úgy, mintha azok nem is léteznének. </w:t>
      </w:r>
      <w:r w:rsidR="004435A1">
        <w:t xml:space="preserve">Igenis rendet kell tenni a román büntetőjog háza táján, még akkor is, ha egyesek ezt másképp látják. </w:t>
      </w:r>
      <w:r w:rsidR="00CD0809">
        <w:t xml:space="preserve">Ráadásul </w:t>
      </w:r>
      <w:r w:rsidR="00B27F5C">
        <w:t xml:space="preserve">az én határozott álláspontom az, hogy </w:t>
      </w:r>
      <w:r w:rsidR="00B50A83">
        <w:t xml:space="preserve">ebben a mostani adok-kapok közepette – ami minden más, csak nem szakmai vita – </w:t>
      </w:r>
      <w:r w:rsidR="00B27F5C">
        <w:t>semmilyen</w:t>
      </w:r>
      <w:r w:rsidR="00B50A83">
        <w:t xml:space="preserve"> morális joguk</w:t>
      </w:r>
      <w:r w:rsidR="00B27F5C">
        <w:t xml:space="preserve"> nincs kritikát megfogalmazni azoknak</w:t>
      </w:r>
      <w:r w:rsidR="00CD0809">
        <w:t>,</w:t>
      </w:r>
      <w:r w:rsidR="00B27F5C">
        <w:t xml:space="preserve"> akik épp a jele</w:t>
      </w:r>
      <w:r w:rsidR="00602BFC">
        <w:t>nlegi állapotok törvényen</w:t>
      </w:r>
      <w:r w:rsidR="00D21033">
        <w:t xml:space="preserve"> felül álló</w:t>
      </w:r>
      <w:r w:rsidR="00B27F5C">
        <w:t xml:space="preserve"> haszonélvezői</w:t>
      </w:r>
      <w:r w:rsidR="00D21033">
        <w:t>,</w:t>
      </w:r>
      <w:r w:rsidR="00B27F5C">
        <w:t xml:space="preserve"> és akik épp a jelenlegi állapotokból és </w:t>
      </w:r>
      <w:r w:rsidR="004435A1">
        <w:t>jogállamiságtól idegen</w:t>
      </w:r>
      <w:r w:rsidR="00B27F5C">
        <w:t xml:space="preserve"> összefonódásokból fakadóan élnek vissza a joggal, törvényességgel</w:t>
      </w:r>
      <w:r w:rsidR="00CD0809">
        <w:t>, hatalommal – bármennyire is láthatatlan az</w:t>
      </w:r>
      <w:r w:rsidR="00B27F5C">
        <w:t>.</w:t>
      </w:r>
      <w:r w:rsidR="007F4444">
        <w:t xml:space="preserve"> Sokan tudjuk mindezeket, de legtöbben mégis hallgatnak. Mert beszélni erről ma nem népszerű. Csak az hozhat változást, ha megtanuljuk: az igazságról beszélni kell akkor is, ha az nem népszerű. Mert nincs alternatívája.</w:t>
      </w:r>
    </w:p>
    <w:p w:rsidR="009F1D3F" w:rsidRDefault="00A26209" w:rsidP="00602BFC">
      <w:pPr>
        <w:ind w:firstLine="360"/>
        <w:jc w:val="both"/>
      </w:pPr>
      <w:r>
        <w:t xml:space="preserve">Kedves Zsolt! </w:t>
      </w:r>
      <w:r w:rsidR="0009101F">
        <w:t>Bár egy ideje úgy tűnik, hogy hallgatok, ezek a dolgok változatlanul tombolnak bennem</w:t>
      </w:r>
      <w:r w:rsidR="00602BFC">
        <w:t xml:space="preserve"> is</w:t>
      </w:r>
      <w:r w:rsidR="0009101F">
        <w:t xml:space="preserve">. </w:t>
      </w:r>
      <w:r w:rsidR="00B50A83">
        <w:t>Attól függetlenül is, hogy é</w:t>
      </w:r>
      <w:r>
        <w:t>n huszonhét év emberi jogi munka után egyszerűen nem tudtam elfogadni</w:t>
      </w:r>
      <w:r w:rsidR="00602BFC">
        <w:t>, hogy ne</w:t>
      </w:r>
      <w:r w:rsidR="00B50A83">
        <w:t>m jogállami erők eltapossanak. Én t</w:t>
      </w:r>
      <w:r w:rsidR="00B27F5C">
        <w:t>ovábbra sem</w:t>
      </w:r>
      <w:r w:rsidR="007712C7">
        <w:t xml:space="preserve"> hiszek</w:t>
      </w:r>
      <w:r w:rsidR="00EA0CF2">
        <w:t xml:space="preserve"> a ro</w:t>
      </w:r>
      <w:r>
        <w:t>mán igazságszolgáltatásban, az I</w:t>
      </w:r>
      <w:r w:rsidR="00EA0CF2">
        <w:t xml:space="preserve">gazságban viszont </w:t>
      </w:r>
      <w:r>
        <w:t xml:space="preserve">– Veled együtt – </w:t>
      </w:r>
      <w:r w:rsidR="00EA0CF2">
        <w:t>töretlenül</w:t>
      </w:r>
      <w:r>
        <w:t xml:space="preserve"> </w:t>
      </w:r>
      <w:r w:rsidR="00EA0CF2">
        <w:t>igen.</w:t>
      </w:r>
      <w:r w:rsidR="00B27F5C">
        <w:t xml:space="preserve"> Hátha vannak még mások is.</w:t>
      </w:r>
      <w:r w:rsidR="004434BF">
        <w:t xml:space="preserve"> Akik még ismerik a jogot – és a jogalkotást. Mert</w:t>
      </w:r>
      <w:r w:rsidR="007F4444">
        <w:t>,</w:t>
      </w:r>
      <w:r w:rsidR="004434BF">
        <w:t xml:space="preserve"> </w:t>
      </w:r>
      <w:r w:rsidR="007F4444">
        <w:t xml:space="preserve">ugyebár, </w:t>
      </w:r>
      <w:r w:rsidR="004434BF">
        <w:t>a hallgatás nem megoldás...</w:t>
      </w:r>
    </w:p>
    <w:p w:rsidR="004434BF" w:rsidRPr="007F4444" w:rsidRDefault="004434BF" w:rsidP="004434BF">
      <w:pPr>
        <w:spacing w:after="0"/>
        <w:ind w:firstLine="360"/>
        <w:jc w:val="both"/>
        <w:rPr>
          <w:rFonts w:cs="Arial"/>
          <w:i/>
        </w:rPr>
      </w:pPr>
      <w:r w:rsidRPr="007F4444">
        <w:rPr>
          <w:rFonts w:cs="Arial"/>
          <w:i/>
          <w:shd w:val="clear" w:color="auto" w:fill="FFFFFF"/>
        </w:rPr>
        <w:t>„Mikor a nácik elvitték a kommunistákat,</w:t>
      </w:r>
      <w:r w:rsidRPr="007F4444">
        <w:rPr>
          <w:rFonts w:cs="Arial"/>
          <w:i/>
        </w:rPr>
        <w:t xml:space="preserve"> </w:t>
      </w:r>
      <w:r w:rsidRPr="007F4444">
        <w:rPr>
          <w:rFonts w:cs="Arial"/>
          <w:i/>
          <w:shd w:val="clear" w:color="auto" w:fill="FFFFFF"/>
        </w:rPr>
        <w:t>csendben maradtam,</w:t>
      </w:r>
      <w:r w:rsidRPr="007F4444">
        <w:rPr>
          <w:rFonts w:cs="Arial"/>
          <w:i/>
        </w:rPr>
        <w:t xml:space="preserve"> </w:t>
      </w:r>
      <w:r w:rsidRPr="007F4444">
        <w:rPr>
          <w:rFonts w:cs="Arial"/>
          <w:i/>
          <w:shd w:val="clear" w:color="auto" w:fill="FFFFFF"/>
        </w:rPr>
        <w:t>hisz nem voltam kommunista.</w:t>
      </w:r>
    </w:p>
    <w:p w:rsidR="004434BF" w:rsidRPr="007F4444" w:rsidRDefault="004434BF" w:rsidP="004434BF">
      <w:pPr>
        <w:spacing w:after="0"/>
        <w:ind w:firstLine="360"/>
        <w:jc w:val="both"/>
        <w:rPr>
          <w:rFonts w:cs="Arial"/>
          <w:i/>
          <w:shd w:val="clear" w:color="auto" w:fill="FFFFFF"/>
        </w:rPr>
      </w:pPr>
      <w:r w:rsidRPr="007F4444">
        <w:rPr>
          <w:rFonts w:cs="Arial"/>
          <w:i/>
          <w:shd w:val="clear" w:color="auto" w:fill="FFFFFF"/>
        </w:rPr>
        <w:t>Amikor a szakszervezeti tagokat vitték el,</w:t>
      </w:r>
      <w:r w:rsidRPr="007F4444">
        <w:rPr>
          <w:rFonts w:cs="Arial"/>
          <w:i/>
        </w:rPr>
        <w:t xml:space="preserve"> </w:t>
      </w:r>
      <w:r w:rsidRPr="007F4444">
        <w:rPr>
          <w:rFonts w:cs="Arial"/>
          <w:i/>
          <w:shd w:val="clear" w:color="auto" w:fill="FFFFFF"/>
        </w:rPr>
        <w:t>csendben maradtam, hisz nem voltam szakszervezeti tag.</w:t>
      </w:r>
    </w:p>
    <w:p w:rsidR="004434BF" w:rsidRPr="007F4444" w:rsidRDefault="004434BF" w:rsidP="004434BF">
      <w:pPr>
        <w:spacing w:after="0"/>
        <w:ind w:firstLine="360"/>
        <w:jc w:val="both"/>
        <w:rPr>
          <w:rFonts w:cs="Arial"/>
          <w:i/>
          <w:shd w:val="clear" w:color="auto" w:fill="FFFFFF"/>
        </w:rPr>
      </w:pPr>
      <w:r w:rsidRPr="007F4444">
        <w:rPr>
          <w:rFonts w:cs="Arial"/>
          <w:i/>
          <w:shd w:val="clear" w:color="auto" w:fill="FFFFFF"/>
        </w:rPr>
        <w:t>Amikor a szocialistákat bezárták,</w:t>
      </w:r>
      <w:r w:rsidRPr="007F4444">
        <w:rPr>
          <w:rFonts w:cs="Arial"/>
          <w:i/>
        </w:rPr>
        <w:t xml:space="preserve"> </w:t>
      </w:r>
      <w:r w:rsidRPr="007F4444">
        <w:rPr>
          <w:rFonts w:cs="Arial"/>
          <w:i/>
          <w:shd w:val="clear" w:color="auto" w:fill="FFFFFF"/>
        </w:rPr>
        <w:t>csendben maradtam, hisz nem voltam szocialista.</w:t>
      </w:r>
    </w:p>
    <w:p w:rsidR="004434BF" w:rsidRPr="007F4444" w:rsidRDefault="004434BF" w:rsidP="004434BF">
      <w:pPr>
        <w:spacing w:after="0"/>
        <w:ind w:firstLine="360"/>
        <w:jc w:val="both"/>
        <w:rPr>
          <w:rFonts w:cs="Arial"/>
          <w:i/>
          <w:shd w:val="clear" w:color="auto" w:fill="FFFFFF"/>
        </w:rPr>
      </w:pPr>
      <w:r w:rsidRPr="007F4444">
        <w:rPr>
          <w:rFonts w:cs="Arial"/>
          <w:i/>
          <w:shd w:val="clear" w:color="auto" w:fill="FFFFFF"/>
        </w:rPr>
        <w:t>Amikor a zsidókat bezárták,</w:t>
      </w:r>
      <w:r w:rsidRPr="007F4444">
        <w:rPr>
          <w:rFonts w:cs="Arial"/>
          <w:i/>
        </w:rPr>
        <w:t xml:space="preserve"> </w:t>
      </w:r>
      <w:r w:rsidRPr="007F4444">
        <w:rPr>
          <w:rFonts w:cs="Arial"/>
          <w:i/>
          <w:shd w:val="clear" w:color="auto" w:fill="FFFFFF"/>
        </w:rPr>
        <w:t>csendben maradtam, hisz nem voltam zsidó.</w:t>
      </w:r>
    </w:p>
    <w:p w:rsidR="004434BF" w:rsidRPr="007F4444" w:rsidRDefault="004434BF" w:rsidP="004434BF">
      <w:pPr>
        <w:spacing w:after="0"/>
        <w:ind w:firstLine="360"/>
        <w:jc w:val="both"/>
        <w:rPr>
          <w:rFonts w:cs="Arial"/>
          <w:i/>
        </w:rPr>
      </w:pPr>
      <w:r w:rsidRPr="007F4444">
        <w:rPr>
          <w:rFonts w:cs="Arial"/>
          <w:i/>
          <w:shd w:val="clear" w:color="auto" w:fill="FFFFFF"/>
        </w:rPr>
        <w:t>Amikorra engem vittek el,</w:t>
      </w:r>
      <w:r w:rsidRPr="007F4444">
        <w:rPr>
          <w:rFonts w:cs="Arial"/>
          <w:i/>
        </w:rPr>
        <w:t xml:space="preserve"> </w:t>
      </w:r>
      <w:r w:rsidRPr="007F4444">
        <w:rPr>
          <w:rFonts w:cs="Arial"/>
          <w:i/>
          <w:shd w:val="clear" w:color="auto" w:fill="FFFFFF"/>
        </w:rPr>
        <w:t>nem maradt senki, aki tiltakozhatott volna.”</w:t>
      </w:r>
    </w:p>
    <w:tbl>
      <w:tblPr>
        <w:tblW w:w="0" w:type="auto"/>
        <w:tblCellSpacing w:w="1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51"/>
        <w:gridCol w:w="351"/>
      </w:tblGrid>
      <w:tr w:rsidR="004434BF" w:rsidRPr="007F4444" w:rsidTr="004434BF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34BF" w:rsidRPr="007F4444" w:rsidRDefault="004434BF" w:rsidP="004434BF">
            <w:pPr>
              <w:spacing w:after="0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4434BF" w:rsidRPr="007F4444" w:rsidTr="004434B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34BF" w:rsidRPr="007F4444" w:rsidRDefault="004434B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BF" w:rsidRPr="007F4444" w:rsidRDefault="004434B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34BF" w:rsidRPr="007F4444" w:rsidTr="004434B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34BF" w:rsidRPr="007F4444" w:rsidRDefault="004434B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BF" w:rsidRPr="007F4444" w:rsidRDefault="004434B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34BF" w:rsidTr="004434B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34BF" w:rsidRDefault="004434BF">
            <w:pPr>
              <w:rPr>
                <w:rFonts w:ascii="Arial" w:hAnsi="Arial" w:cs="Arial"/>
                <w:color w:val="25252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BF" w:rsidRDefault="004434BF">
            <w:pPr>
              <w:rPr>
                <w:rFonts w:ascii="Arial" w:hAnsi="Arial" w:cs="Arial"/>
                <w:color w:val="252525"/>
                <w:sz w:val="19"/>
                <w:szCs w:val="19"/>
              </w:rPr>
            </w:pPr>
          </w:p>
        </w:tc>
      </w:tr>
      <w:tr w:rsidR="004434BF" w:rsidTr="004434B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34BF" w:rsidRDefault="004434BF">
            <w:pPr>
              <w:rPr>
                <w:rFonts w:ascii="Arial" w:hAnsi="Arial" w:cs="Arial"/>
                <w:color w:val="25252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BF" w:rsidRDefault="004434BF">
            <w:pPr>
              <w:rPr>
                <w:rFonts w:ascii="Arial" w:hAnsi="Arial" w:cs="Arial"/>
                <w:color w:val="252525"/>
                <w:sz w:val="19"/>
                <w:szCs w:val="19"/>
              </w:rPr>
            </w:pPr>
          </w:p>
        </w:tc>
      </w:tr>
    </w:tbl>
    <w:p w:rsidR="004434BF" w:rsidRDefault="004434BF" w:rsidP="00602BFC">
      <w:pPr>
        <w:ind w:firstLine="360"/>
        <w:jc w:val="both"/>
      </w:pPr>
    </w:p>
    <w:sectPr w:rsidR="004434BF" w:rsidSect="002B0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1A1B"/>
    <w:multiLevelType w:val="hybridMultilevel"/>
    <w:tmpl w:val="642A0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64027"/>
    <w:rsid w:val="00045465"/>
    <w:rsid w:val="00073639"/>
    <w:rsid w:val="0009101F"/>
    <w:rsid w:val="00131835"/>
    <w:rsid w:val="001334F5"/>
    <w:rsid w:val="00203EB8"/>
    <w:rsid w:val="002B0CE9"/>
    <w:rsid w:val="00331BCD"/>
    <w:rsid w:val="00344370"/>
    <w:rsid w:val="003748E1"/>
    <w:rsid w:val="00386ECD"/>
    <w:rsid w:val="00391A1B"/>
    <w:rsid w:val="003B47D8"/>
    <w:rsid w:val="003D08DD"/>
    <w:rsid w:val="003D715D"/>
    <w:rsid w:val="003F0D8F"/>
    <w:rsid w:val="00414A07"/>
    <w:rsid w:val="00433D0C"/>
    <w:rsid w:val="004434BF"/>
    <w:rsid w:val="004435A1"/>
    <w:rsid w:val="0047572F"/>
    <w:rsid w:val="004A54B0"/>
    <w:rsid w:val="00523FB8"/>
    <w:rsid w:val="00527D91"/>
    <w:rsid w:val="00571949"/>
    <w:rsid w:val="005738F8"/>
    <w:rsid w:val="005F4FCB"/>
    <w:rsid w:val="00602BFC"/>
    <w:rsid w:val="00635028"/>
    <w:rsid w:val="006457F8"/>
    <w:rsid w:val="006A5380"/>
    <w:rsid w:val="006E0254"/>
    <w:rsid w:val="00735B77"/>
    <w:rsid w:val="007712C7"/>
    <w:rsid w:val="007872FF"/>
    <w:rsid w:val="007E0982"/>
    <w:rsid w:val="007F4444"/>
    <w:rsid w:val="0080788B"/>
    <w:rsid w:val="00864027"/>
    <w:rsid w:val="00875EC2"/>
    <w:rsid w:val="008D4366"/>
    <w:rsid w:val="009148EE"/>
    <w:rsid w:val="009C2092"/>
    <w:rsid w:val="009E5F91"/>
    <w:rsid w:val="009F1D3F"/>
    <w:rsid w:val="00A26209"/>
    <w:rsid w:val="00A5518B"/>
    <w:rsid w:val="00AA5604"/>
    <w:rsid w:val="00AD5B58"/>
    <w:rsid w:val="00B106BA"/>
    <w:rsid w:val="00B13BB5"/>
    <w:rsid w:val="00B27F5C"/>
    <w:rsid w:val="00B42CBD"/>
    <w:rsid w:val="00B50A83"/>
    <w:rsid w:val="00C04D70"/>
    <w:rsid w:val="00C50F0C"/>
    <w:rsid w:val="00C55ED8"/>
    <w:rsid w:val="00C91371"/>
    <w:rsid w:val="00CD0809"/>
    <w:rsid w:val="00CE64FB"/>
    <w:rsid w:val="00D12FD2"/>
    <w:rsid w:val="00D21033"/>
    <w:rsid w:val="00D4472D"/>
    <w:rsid w:val="00D7422E"/>
    <w:rsid w:val="00DC7410"/>
    <w:rsid w:val="00DF72D7"/>
    <w:rsid w:val="00DF7791"/>
    <w:rsid w:val="00E32E30"/>
    <w:rsid w:val="00E623F2"/>
    <w:rsid w:val="00E667AD"/>
    <w:rsid w:val="00E66A2F"/>
    <w:rsid w:val="00EA0CF2"/>
    <w:rsid w:val="00FD1AE7"/>
    <w:rsid w:val="00FF1C05"/>
    <w:rsid w:val="00FF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E9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8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D3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43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Magdi</dc:creator>
  <cp:lastModifiedBy>Magdi</cp:lastModifiedBy>
  <cp:revision>11</cp:revision>
  <dcterms:created xsi:type="dcterms:W3CDTF">2017-01-26T19:32:00Z</dcterms:created>
  <dcterms:modified xsi:type="dcterms:W3CDTF">2017-01-29T14:13:00Z</dcterms:modified>
</cp:coreProperties>
</file>